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292"/>
      </w:tblGrid>
      <w:tr w:rsidR="00C1312B" w:rsidRPr="001A7DE9" w:rsidTr="00526D2D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1312B" w:rsidRPr="001A7DE9" w:rsidRDefault="00C1312B" w:rsidP="00BE330D">
            <w:pPr>
              <w:pStyle w:val="Antet"/>
              <w:jc w:val="both"/>
              <w:rPr>
                <w:rFonts w:ascii="Times New Roman" w:hAnsi="Times New Roman"/>
                <w:b/>
                <w:szCs w:val="24"/>
              </w:rPr>
            </w:pPr>
            <w:r w:rsidRPr="001A7DE9">
              <w:rPr>
                <w:rFonts w:ascii="Times New Roman" w:hAnsi="Times New Roman"/>
                <w:b/>
                <w:noProof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A7DE9">
              <w:rPr>
                <w:rFonts w:ascii="Times New Roman" w:hAnsi="Times New Roman"/>
                <w:b/>
                <w:noProof/>
                <w:szCs w:val="24"/>
                <w:lang w:val="en-GB" w:eastAsia="en-GB"/>
              </w:rPr>
              <w:drawing>
                <wp:inline distT="0" distB="0" distL="0" distR="0" wp14:anchorId="5B097C2D" wp14:editId="15EDAEAE">
                  <wp:extent cx="504825" cy="781050"/>
                  <wp:effectExtent l="19050" t="0" r="9525" b="0"/>
                  <wp:docPr id="1" name="Imagine 1" descr="Stema no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tcBorders>
              <w:top w:val="nil"/>
              <w:left w:val="nil"/>
              <w:bottom w:val="nil"/>
              <w:right w:val="nil"/>
            </w:tcBorders>
          </w:tcPr>
          <w:p w:rsidR="00C1312B" w:rsidRPr="001A7DE9" w:rsidRDefault="00C1312B" w:rsidP="00BE330D">
            <w:pPr>
              <w:jc w:val="both"/>
              <w:rPr>
                <w:b/>
              </w:rPr>
            </w:pPr>
            <w:r w:rsidRPr="001A7DE9">
              <w:rPr>
                <w:b/>
              </w:rPr>
              <w:t>ROMÂNIA</w:t>
            </w:r>
          </w:p>
          <w:p w:rsidR="00C1312B" w:rsidRPr="001A7DE9" w:rsidRDefault="00C1312B" w:rsidP="00BE330D">
            <w:pPr>
              <w:jc w:val="both"/>
              <w:rPr>
                <w:b/>
              </w:rPr>
            </w:pPr>
            <w:r w:rsidRPr="001A7DE9">
              <w:rPr>
                <w:b/>
              </w:rPr>
              <w:t>JUDEŢUL CLUJ</w:t>
            </w:r>
          </w:p>
          <w:p w:rsidR="00C1312B" w:rsidRPr="001A7DE9" w:rsidRDefault="00C1312B" w:rsidP="00BE330D">
            <w:pPr>
              <w:jc w:val="both"/>
              <w:rPr>
                <w:b/>
              </w:rPr>
            </w:pPr>
            <w:r w:rsidRPr="001A7DE9">
              <w:rPr>
                <w:b/>
              </w:rPr>
              <w:t>PRIMĂRIA MUNICIPIULUI DEJ</w:t>
            </w:r>
          </w:p>
          <w:p w:rsidR="00C1312B" w:rsidRPr="001A7DE9" w:rsidRDefault="00C1312B" w:rsidP="00BE330D">
            <w:pPr>
              <w:jc w:val="both"/>
              <w:rPr>
                <w:b/>
              </w:rPr>
            </w:pPr>
            <w:r w:rsidRPr="001A7DE9">
              <w:rPr>
                <w:b/>
              </w:rPr>
              <w:t xml:space="preserve">Str. 1 Mai nr. 2, Tel.: 0264/211790*, Fax 0264/223260, E-mail: </w:t>
            </w:r>
            <w:hyperlink r:id="rId6" w:history="1">
              <w:r w:rsidRPr="001A7DE9">
                <w:rPr>
                  <w:rStyle w:val="Hyperlink"/>
                  <w:b/>
                </w:rPr>
                <w:t>primaria@dej.ro</w:t>
              </w:r>
            </w:hyperlink>
          </w:p>
        </w:tc>
      </w:tr>
      <w:tr w:rsidR="00C1312B" w:rsidRPr="001A7DE9" w:rsidTr="00526D2D">
        <w:tc>
          <w:tcPr>
            <w:tcW w:w="9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12B" w:rsidRPr="001A7DE9" w:rsidRDefault="00C1312B" w:rsidP="00BE330D">
            <w:pPr>
              <w:pStyle w:val="Titlu1"/>
              <w:jc w:val="both"/>
              <w:rPr>
                <w:b/>
                <w:color w:val="333333"/>
                <w:sz w:val="24"/>
                <w:lang w:val="fr-FR"/>
              </w:rPr>
            </w:pPr>
          </w:p>
        </w:tc>
      </w:tr>
    </w:tbl>
    <w:p w:rsidR="00BF7B87" w:rsidRPr="001A7DE9" w:rsidRDefault="00BF7B87" w:rsidP="00BF7B87">
      <w:pPr>
        <w:rPr>
          <w:b/>
          <w:u w:val="single"/>
        </w:rPr>
      </w:pPr>
      <w:r w:rsidRPr="001A7DE9">
        <w:rPr>
          <w:b/>
          <w:color w:val="000000"/>
        </w:rPr>
        <w:t xml:space="preserve">                                              </w:t>
      </w:r>
      <w:r w:rsidR="00824865" w:rsidRPr="001A7DE9">
        <w:rPr>
          <w:b/>
        </w:rPr>
        <w:t xml:space="preserve"> </w:t>
      </w:r>
      <w:r w:rsidRPr="001A7DE9">
        <w:rPr>
          <w:b/>
        </w:rPr>
        <w:t xml:space="preserve"> </w:t>
      </w:r>
      <w:r w:rsidRPr="001A7DE9">
        <w:rPr>
          <w:b/>
          <w:u w:val="single"/>
        </w:rPr>
        <w:t xml:space="preserve">DISPOZIŢIA NR. </w:t>
      </w:r>
      <w:r w:rsidR="001A7DE9" w:rsidRPr="001A7DE9">
        <w:rPr>
          <w:b/>
          <w:u w:val="single"/>
        </w:rPr>
        <w:t>1386 din 04.11.2020</w:t>
      </w:r>
    </w:p>
    <w:p w:rsidR="00BF7B87" w:rsidRPr="001A7DE9" w:rsidRDefault="0091206A" w:rsidP="0091206A">
      <w:pPr>
        <w:rPr>
          <w:b/>
        </w:rPr>
      </w:pPr>
      <w:r w:rsidRPr="001A7DE9">
        <w:rPr>
          <w:b/>
        </w:rPr>
        <w:t xml:space="preserve">                   </w:t>
      </w:r>
      <w:r w:rsidR="0060414C" w:rsidRPr="001A7DE9">
        <w:rPr>
          <w:b/>
        </w:rPr>
        <w:t xml:space="preserve">       </w:t>
      </w:r>
      <w:r w:rsidR="00433CB9" w:rsidRPr="001A7DE9">
        <w:rPr>
          <w:b/>
        </w:rPr>
        <w:t xml:space="preserve">               </w:t>
      </w:r>
      <w:r w:rsidR="007E21A4" w:rsidRPr="001A7DE9">
        <w:rPr>
          <w:b/>
        </w:rPr>
        <w:t xml:space="preserve"> </w:t>
      </w:r>
    </w:p>
    <w:p w:rsidR="00BF7B87" w:rsidRPr="001A7DE9" w:rsidRDefault="00BF7B87" w:rsidP="00BF7B87">
      <w:pPr>
        <w:jc w:val="center"/>
      </w:pPr>
      <w:r w:rsidRPr="001A7DE9">
        <w:t>privind stabilirea locurilor speciale de afișaj electoral din Muni</w:t>
      </w:r>
      <w:r w:rsidR="00D72263" w:rsidRPr="001A7DE9">
        <w:t>cipiul Dej pentru organizarea și des</w:t>
      </w:r>
      <w:r w:rsidR="0060414C" w:rsidRPr="001A7DE9">
        <w:t xml:space="preserve">fășurarea alegerilor </w:t>
      </w:r>
      <w:r w:rsidR="00506EAD" w:rsidRPr="001A7DE9">
        <w:rPr>
          <w:rFonts w:eastAsiaTheme="minorHAnsi"/>
          <w:lang w:eastAsia="en-US"/>
        </w:rPr>
        <w:t xml:space="preserve"> pentru Senat și Camera Deputaților din anul 2020</w:t>
      </w:r>
    </w:p>
    <w:p w:rsidR="00BF7B87" w:rsidRPr="001A7DE9" w:rsidRDefault="00BF7B87" w:rsidP="00BF7B87">
      <w:pPr>
        <w:jc w:val="center"/>
        <w:rPr>
          <w:b/>
        </w:rPr>
      </w:pPr>
    </w:p>
    <w:p w:rsidR="00433CB9" w:rsidRPr="001A7DE9" w:rsidRDefault="00433CB9" w:rsidP="00BF7B87">
      <w:pPr>
        <w:jc w:val="center"/>
        <w:rPr>
          <w:b/>
        </w:rPr>
      </w:pPr>
    </w:p>
    <w:p w:rsidR="00BF7B87" w:rsidRPr="001A7DE9" w:rsidRDefault="00BF7B87" w:rsidP="001A7DE9">
      <w:pPr>
        <w:ind w:left="284" w:right="284"/>
        <w:jc w:val="both"/>
        <w:rPr>
          <w:b/>
        </w:rPr>
      </w:pPr>
      <w:r w:rsidRPr="001A7DE9">
        <w:rPr>
          <w:b/>
        </w:rPr>
        <w:tab/>
      </w:r>
      <w:r w:rsidR="00684C9A" w:rsidRPr="001A7DE9">
        <w:rPr>
          <w:b/>
        </w:rPr>
        <w:t xml:space="preserve">  </w:t>
      </w:r>
      <w:r w:rsidRPr="001A7DE9">
        <w:rPr>
          <w:b/>
        </w:rPr>
        <w:t xml:space="preserve">Primarul Municipiului Dej, </w:t>
      </w:r>
      <w:r w:rsidR="00364CC1" w:rsidRPr="001A7DE9">
        <w:rPr>
          <w:b/>
        </w:rPr>
        <w:t>județul</w:t>
      </w:r>
      <w:r w:rsidRPr="001A7DE9">
        <w:rPr>
          <w:b/>
        </w:rPr>
        <w:t xml:space="preserve"> Cluj;</w:t>
      </w:r>
    </w:p>
    <w:p w:rsidR="0066120C" w:rsidRPr="001A7DE9" w:rsidRDefault="00433CB9" w:rsidP="001A7DE9">
      <w:pPr>
        <w:autoSpaceDE w:val="0"/>
        <w:autoSpaceDN w:val="0"/>
        <w:adjustRightInd w:val="0"/>
        <w:jc w:val="both"/>
        <w:rPr>
          <w:lang w:val="en-GB"/>
        </w:rPr>
      </w:pPr>
      <w:r w:rsidRPr="001A7DE9">
        <w:rPr>
          <w:b/>
        </w:rPr>
        <w:tab/>
      </w:r>
      <w:r w:rsidR="00684C9A" w:rsidRPr="001A7DE9">
        <w:rPr>
          <w:b/>
        </w:rPr>
        <w:t xml:space="preserve">  </w:t>
      </w:r>
      <w:r w:rsidR="00506EAD" w:rsidRPr="001A7DE9">
        <w:t>Având în vedere temei</w:t>
      </w:r>
      <w:r w:rsidR="002038C1" w:rsidRPr="001A7DE9">
        <w:t>urile juridice prevăzute de dispozițiile</w:t>
      </w:r>
      <w:r w:rsidR="002038C1" w:rsidRPr="001A7DE9">
        <w:rPr>
          <w:lang w:val="en-GB"/>
        </w:rPr>
        <w:t>:</w:t>
      </w:r>
    </w:p>
    <w:p w:rsidR="00684C9A" w:rsidRPr="001A7DE9" w:rsidRDefault="003F388E" w:rsidP="001A7DE9">
      <w:pPr>
        <w:autoSpaceDE w:val="0"/>
        <w:autoSpaceDN w:val="0"/>
        <w:adjustRightInd w:val="0"/>
        <w:jc w:val="both"/>
        <w:rPr>
          <w:b/>
          <w:lang w:val="en-GB"/>
        </w:rPr>
      </w:pPr>
      <w:r w:rsidRPr="001A7DE9">
        <w:rPr>
          <w:b/>
        </w:rPr>
        <w:t xml:space="preserve">             </w:t>
      </w:r>
    </w:p>
    <w:p w:rsidR="000979FA" w:rsidRPr="001A7DE9" w:rsidRDefault="0066120C" w:rsidP="001A7D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7DE9">
        <w:rPr>
          <w:b/>
        </w:rPr>
        <w:t xml:space="preserve">           </w:t>
      </w:r>
      <w:r w:rsidR="002038C1" w:rsidRPr="001A7DE9">
        <w:rPr>
          <w:b/>
        </w:rPr>
        <w:t xml:space="preserve"> </w:t>
      </w:r>
      <w:r w:rsidR="00684C9A" w:rsidRPr="001A7DE9">
        <w:rPr>
          <w:b/>
        </w:rPr>
        <w:t xml:space="preserve"> </w:t>
      </w:r>
      <w:r w:rsidR="00433CB9" w:rsidRPr="001A7DE9">
        <w:rPr>
          <w:b/>
        </w:rPr>
        <w:t xml:space="preserve"> </w:t>
      </w:r>
      <w:r w:rsidR="00BF7B87" w:rsidRPr="001A7DE9">
        <w:rPr>
          <w:b/>
        </w:rPr>
        <w:t>ar</w:t>
      </w:r>
      <w:r w:rsidR="0091206A" w:rsidRPr="001A7DE9">
        <w:rPr>
          <w:b/>
        </w:rPr>
        <w:t>t.</w:t>
      </w:r>
      <w:r w:rsidR="001847F2" w:rsidRPr="001A7DE9">
        <w:rPr>
          <w:b/>
        </w:rPr>
        <w:t>79</w:t>
      </w:r>
      <w:r w:rsidR="006E025F" w:rsidRPr="001A7DE9">
        <w:rPr>
          <w:b/>
        </w:rPr>
        <w:t xml:space="preserve"> alin(1)</w:t>
      </w:r>
      <w:r w:rsidR="001847F2" w:rsidRPr="001A7DE9">
        <w:rPr>
          <w:b/>
        </w:rPr>
        <w:t xml:space="preserve"> di</w:t>
      </w:r>
      <w:r w:rsidR="00531BA1" w:rsidRPr="001A7DE9">
        <w:rPr>
          <w:b/>
        </w:rPr>
        <w:t>n Legea nr.208/2015</w:t>
      </w:r>
      <w:r w:rsidR="000979FA" w:rsidRPr="001A7DE9">
        <w:rPr>
          <w:b/>
        </w:rPr>
        <w:t xml:space="preserve">, </w:t>
      </w:r>
      <w:r w:rsidR="003F388E" w:rsidRPr="001A7DE9">
        <w:rPr>
          <w:rFonts w:eastAsiaTheme="minorHAnsi"/>
          <w:lang w:eastAsia="en-US"/>
        </w:rPr>
        <w:t xml:space="preserve">privind alegerea Senatului şi a Camerei </w:t>
      </w:r>
      <w:proofErr w:type="spellStart"/>
      <w:r w:rsidR="003F388E" w:rsidRPr="001A7DE9">
        <w:rPr>
          <w:rFonts w:eastAsiaTheme="minorHAnsi"/>
          <w:lang w:eastAsia="en-US"/>
        </w:rPr>
        <w:t>Deputaţilor</w:t>
      </w:r>
      <w:proofErr w:type="spellEnd"/>
      <w:r w:rsidR="003F388E" w:rsidRPr="001A7DE9">
        <w:rPr>
          <w:rFonts w:eastAsiaTheme="minorHAnsi"/>
          <w:lang w:eastAsia="en-US"/>
        </w:rPr>
        <w:t xml:space="preserve">, precum şi pentru organizarea şi </w:t>
      </w:r>
      <w:proofErr w:type="spellStart"/>
      <w:r w:rsidR="003F388E" w:rsidRPr="001A7DE9">
        <w:rPr>
          <w:rFonts w:eastAsiaTheme="minorHAnsi"/>
          <w:lang w:eastAsia="en-US"/>
        </w:rPr>
        <w:t>funcţionarea</w:t>
      </w:r>
      <w:proofErr w:type="spellEnd"/>
      <w:r w:rsidR="003F388E" w:rsidRPr="001A7DE9">
        <w:rPr>
          <w:rFonts w:eastAsiaTheme="minorHAnsi"/>
          <w:lang w:eastAsia="en-US"/>
        </w:rPr>
        <w:t xml:space="preserve"> </w:t>
      </w:r>
      <w:proofErr w:type="spellStart"/>
      <w:r w:rsidR="003F388E" w:rsidRPr="001A7DE9">
        <w:rPr>
          <w:rFonts w:eastAsiaTheme="minorHAnsi"/>
          <w:lang w:eastAsia="en-US"/>
        </w:rPr>
        <w:t>Autorităţii</w:t>
      </w:r>
      <w:proofErr w:type="spellEnd"/>
      <w:r w:rsidR="003F388E" w:rsidRPr="001A7DE9">
        <w:rPr>
          <w:rFonts w:eastAsiaTheme="minorHAnsi"/>
          <w:lang w:eastAsia="en-US"/>
        </w:rPr>
        <w:t xml:space="preserve"> Electorale Permanente, cu modificările și completările ulterioare</w:t>
      </w:r>
      <w:r w:rsidR="000979FA" w:rsidRPr="001A7DE9">
        <w:rPr>
          <w:rFonts w:eastAsiaTheme="minorHAnsi"/>
          <w:lang w:eastAsia="en-US"/>
        </w:rPr>
        <w:t xml:space="preserve"> </w:t>
      </w:r>
      <w:r w:rsidR="00684C9A" w:rsidRPr="001A7DE9">
        <w:rPr>
          <w:b/>
          <w:lang w:val="en-GB"/>
        </w:rPr>
        <w:t>;</w:t>
      </w:r>
    </w:p>
    <w:p w:rsidR="00FF6399" w:rsidRPr="001A7DE9" w:rsidRDefault="00684C9A" w:rsidP="001A7D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7DE9">
        <w:rPr>
          <w:b/>
        </w:rPr>
        <w:t xml:space="preserve">            </w:t>
      </w:r>
      <w:r w:rsidR="00B21A29" w:rsidRPr="001A7DE9">
        <w:rPr>
          <w:rFonts w:eastAsiaTheme="minorHAnsi"/>
          <w:lang w:eastAsia="en-US"/>
        </w:rPr>
        <w:t xml:space="preserve"> </w:t>
      </w:r>
      <w:r w:rsidR="00353D2C" w:rsidRPr="001A7DE9">
        <w:rPr>
          <w:rFonts w:eastAsiaTheme="minorHAnsi"/>
          <w:lang w:eastAsia="en-US"/>
        </w:rPr>
        <w:t>pct.95</w:t>
      </w:r>
      <w:r w:rsidRPr="001A7DE9">
        <w:rPr>
          <w:rFonts w:eastAsiaTheme="minorHAnsi"/>
          <w:lang w:eastAsia="en-US"/>
        </w:rPr>
        <w:t xml:space="preserve"> din</w:t>
      </w:r>
      <w:r w:rsidR="00FF6399" w:rsidRPr="001A7DE9">
        <w:rPr>
          <w:rFonts w:eastAsiaTheme="minorHAnsi"/>
          <w:lang w:eastAsia="en-US"/>
        </w:rPr>
        <w:t xml:space="preserve"> HOTĂRÂRE  Nr. 745/ din 3 septembrie 2020 </w:t>
      </w:r>
      <w:r w:rsidRPr="001A7DE9">
        <w:rPr>
          <w:rFonts w:eastAsiaTheme="minorHAnsi"/>
          <w:lang w:eastAsia="en-US"/>
        </w:rPr>
        <w:t xml:space="preserve"> </w:t>
      </w:r>
      <w:r w:rsidR="00B21A29" w:rsidRPr="001A7DE9">
        <w:rPr>
          <w:rFonts w:eastAsiaTheme="minorHAnsi"/>
          <w:lang w:eastAsia="en-US"/>
        </w:rPr>
        <w:t>pentru apro</w:t>
      </w:r>
      <w:r w:rsidR="00FF6399" w:rsidRPr="001A7DE9">
        <w:rPr>
          <w:rFonts w:eastAsiaTheme="minorHAnsi"/>
          <w:lang w:eastAsia="en-US"/>
        </w:rPr>
        <w:t xml:space="preserve">barea programului calendarului </w:t>
      </w:r>
      <w:proofErr w:type="spellStart"/>
      <w:r w:rsidR="00FF6399" w:rsidRPr="001A7DE9">
        <w:rPr>
          <w:rFonts w:eastAsiaTheme="minorHAnsi"/>
          <w:lang w:eastAsia="en-US"/>
        </w:rPr>
        <w:t>acţiunilor</w:t>
      </w:r>
      <w:proofErr w:type="spellEnd"/>
      <w:r w:rsidR="00FF6399" w:rsidRPr="001A7DE9">
        <w:rPr>
          <w:rFonts w:eastAsiaTheme="minorHAnsi"/>
          <w:lang w:eastAsia="en-US"/>
        </w:rPr>
        <w:t xml:space="preserve"> din cuprinsul perioadei electorale a alegerilor pentru Senat şi Camera </w:t>
      </w:r>
      <w:proofErr w:type="spellStart"/>
      <w:r w:rsidR="00FF6399" w:rsidRPr="001A7DE9">
        <w:rPr>
          <w:rFonts w:eastAsiaTheme="minorHAnsi"/>
          <w:lang w:eastAsia="en-US"/>
        </w:rPr>
        <w:t>Deputaţilor</w:t>
      </w:r>
      <w:proofErr w:type="spellEnd"/>
      <w:r w:rsidR="00FF6399" w:rsidRPr="001A7DE9">
        <w:rPr>
          <w:rFonts w:eastAsiaTheme="minorHAnsi"/>
          <w:lang w:eastAsia="en-US"/>
        </w:rPr>
        <w:t xml:space="preserve"> din anul 2020</w:t>
      </w:r>
      <w:r w:rsidR="003F388E" w:rsidRPr="001A7DE9">
        <w:rPr>
          <w:rFonts w:eastAsiaTheme="minorHAnsi"/>
          <w:lang w:val="en-GB" w:eastAsia="en-US"/>
        </w:rPr>
        <w:t>;</w:t>
      </w:r>
    </w:p>
    <w:p w:rsidR="00BF7B87" w:rsidRPr="001A7DE9" w:rsidRDefault="00BF7B87" w:rsidP="001A7DE9">
      <w:pPr>
        <w:autoSpaceDE w:val="0"/>
        <w:autoSpaceDN w:val="0"/>
        <w:adjustRightInd w:val="0"/>
        <w:jc w:val="both"/>
        <w:rPr>
          <w:b/>
          <w:lang w:val="en-GB"/>
        </w:rPr>
      </w:pPr>
    </w:p>
    <w:p w:rsidR="00125048" w:rsidRPr="001A7DE9" w:rsidRDefault="00125048" w:rsidP="001A7DE9">
      <w:pPr>
        <w:spacing w:line="276" w:lineRule="auto"/>
        <w:jc w:val="both"/>
      </w:pPr>
      <w:r w:rsidRPr="001A7DE9">
        <w:rPr>
          <w:b/>
          <w:lang w:val="en-GB"/>
        </w:rPr>
        <w:t xml:space="preserve">            </w:t>
      </w:r>
      <w:r w:rsidRPr="001A7DE9">
        <w:t xml:space="preserve">   art.155 alin(1) lit.a și alin(2) </w:t>
      </w:r>
      <w:proofErr w:type="spellStart"/>
      <w:r w:rsidRPr="001A7DE9">
        <w:t>lit.b</w:t>
      </w:r>
      <w:proofErr w:type="spellEnd"/>
      <w:r w:rsidRPr="001A7DE9">
        <w:t xml:space="preserve"> din Ordonanța de Urgență a Guvernului nr. 57/2019 privind Codul administrative, cu modificările și completările ulterioare.                                           </w:t>
      </w:r>
    </w:p>
    <w:p w:rsidR="003D2F62" w:rsidRPr="001A7DE9" w:rsidRDefault="003D2F62" w:rsidP="001A7D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6120C" w:rsidRPr="001A7DE9" w:rsidRDefault="00A632B2" w:rsidP="001A7DE9">
      <w:pPr>
        <w:spacing w:line="276" w:lineRule="auto"/>
        <w:ind w:firstLine="708"/>
        <w:jc w:val="both"/>
      </w:pPr>
      <w:r w:rsidRPr="001A7DE9">
        <w:rPr>
          <w:b/>
        </w:rPr>
        <w:tab/>
      </w:r>
      <w:r w:rsidR="0066120C" w:rsidRPr="001A7DE9">
        <w:t xml:space="preserve">În temeiul art. 196 alin.(1) lit. b din Ordonanța de Urgență a Guvernului nr. 57/2019 privind Codul administrative, cu modificările și completările ulterioare.                                           </w:t>
      </w:r>
    </w:p>
    <w:p w:rsidR="0066120C" w:rsidRPr="001A7DE9" w:rsidRDefault="0066120C" w:rsidP="0066120C">
      <w:pPr>
        <w:spacing w:line="276" w:lineRule="auto"/>
        <w:ind w:firstLine="708"/>
        <w:jc w:val="both"/>
      </w:pPr>
    </w:p>
    <w:p w:rsidR="00BF7B87" w:rsidRPr="001A7DE9" w:rsidRDefault="00BF7B87" w:rsidP="00DC60DE">
      <w:pPr>
        <w:ind w:left="284" w:right="284"/>
        <w:jc w:val="both"/>
        <w:rPr>
          <w:b/>
        </w:rPr>
      </w:pPr>
    </w:p>
    <w:p w:rsidR="00BF7B87" w:rsidRPr="001A7DE9" w:rsidRDefault="00BF7B87" w:rsidP="00B64E5A">
      <w:pPr>
        <w:jc w:val="center"/>
        <w:rPr>
          <w:b/>
          <w:u w:val="single"/>
        </w:rPr>
      </w:pPr>
      <w:r w:rsidRPr="001A7DE9">
        <w:rPr>
          <w:b/>
          <w:u w:val="single"/>
        </w:rPr>
        <w:t>D I S P U N E:</w:t>
      </w:r>
    </w:p>
    <w:p w:rsidR="00BF7B87" w:rsidRPr="001A7DE9" w:rsidRDefault="00BF7B87" w:rsidP="00B64E5A">
      <w:pPr>
        <w:rPr>
          <w:b/>
          <w:u w:val="single"/>
        </w:rPr>
      </w:pPr>
    </w:p>
    <w:p w:rsidR="00BF7B87" w:rsidRPr="001A7DE9" w:rsidRDefault="00BF7B87" w:rsidP="00125048">
      <w:pPr>
        <w:jc w:val="both"/>
      </w:pPr>
      <w:r w:rsidRPr="001A7DE9">
        <w:rPr>
          <w:b/>
        </w:rPr>
        <w:tab/>
      </w:r>
      <w:r w:rsidRPr="001A7DE9">
        <w:rPr>
          <w:b/>
          <w:u w:val="single"/>
        </w:rPr>
        <w:t>Art. 1.</w:t>
      </w:r>
      <w:r w:rsidR="009826F2" w:rsidRPr="001A7DE9">
        <w:rPr>
          <w:b/>
        </w:rPr>
        <w:t xml:space="preserve">    </w:t>
      </w:r>
      <w:r w:rsidRPr="001A7DE9">
        <w:rPr>
          <w:b/>
        </w:rPr>
        <w:t>Se stabilesc locurile speciale de afișaj electoral din Muni</w:t>
      </w:r>
      <w:r w:rsidR="001B39A6" w:rsidRPr="001A7DE9">
        <w:rPr>
          <w:b/>
        </w:rPr>
        <w:t>cipiul</w:t>
      </w:r>
      <w:r w:rsidR="0060414C" w:rsidRPr="001A7DE9">
        <w:rPr>
          <w:b/>
        </w:rPr>
        <w:t xml:space="preserve"> Dej pentru  </w:t>
      </w:r>
      <w:r w:rsidR="00433CB9" w:rsidRPr="001A7DE9">
        <w:rPr>
          <w:b/>
        </w:rPr>
        <w:t xml:space="preserve">, </w:t>
      </w:r>
      <w:r w:rsidR="0060414C" w:rsidRPr="001A7DE9">
        <w:rPr>
          <w:b/>
        </w:rPr>
        <w:t xml:space="preserve"> organizarea și desfășur</w:t>
      </w:r>
      <w:r w:rsidR="00A632B2" w:rsidRPr="001A7DE9">
        <w:rPr>
          <w:b/>
        </w:rPr>
        <w:t>ar</w:t>
      </w:r>
      <w:r w:rsidR="00DE08B6" w:rsidRPr="001A7DE9">
        <w:rPr>
          <w:b/>
        </w:rPr>
        <w:t>ea alegerilor</w:t>
      </w:r>
      <w:r w:rsidR="00125048" w:rsidRPr="001A7DE9">
        <w:rPr>
          <w:rFonts w:eastAsiaTheme="minorHAnsi"/>
          <w:lang w:eastAsia="en-US"/>
        </w:rPr>
        <w:t xml:space="preserve"> </w:t>
      </w:r>
      <w:r w:rsidR="001A7DE9" w:rsidRPr="001A7DE9">
        <w:rPr>
          <w:rFonts w:eastAsiaTheme="minorHAnsi"/>
          <w:lang w:eastAsia="en-US"/>
        </w:rPr>
        <w:t>pentru Senat și Camera Deputaților din anul 2020</w:t>
      </w:r>
      <w:r w:rsidR="00125048" w:rsidRPr="001A7DE9">
        <w:rPr>
          <w:b/>
        </w:rPr>
        <w:t xml:space="preserve">  </w:t>
      </w:r>
      <w:r w:rsidR="00433CB9" w:rsidRPr="001A7DE9">
        <w:rPr>
          <w:b/>
        </w:rPr>
        <w:t>,pe panouri electorale</w:t>
      </w:r>
      <w:r w:rsidRPr="001A7DE9">
        <w:rPr>
          <w:b/>
        </w:rPr>
        <w:t xml:space="preserve"> care vor fi amplasate, după cum urmează:</w:t>
      </w:r>
    </w:p>
    <w:p w:rsidR="00433CB9" w:rsidRPr="001A7DE9" w:rsidRDefault="00433CB9" w:rsidP="00433CB9">
      <w:pPr>
        <w:jc w:val="both"/>
        <w:rPr>
          <w:b/>
        </w:rPr>
      </w:pPr>
    </w:p>
    <w:p w:rsidR="00BF7B87" w:rsidRPr="001A7DE9" w:rsidRDefault="00BF7B87" w:rsidP="00BF7B87">
      <w:pPr>
        <w:jc w:val="both"/>
        <w:rPr>
          <w:b/>
        </w:rPr>
      </w:pPr>
      <w:r w:rsidRPr="001A7DE9">
        <w:rPr>
          <w:b/>
        </w:rPr>
        <w:tab/>
        <w:t>Piața Bobâlna, (în parcarea stației de taximetrie);</w:t>
      </w:r>
    </w:p>
    <w:p w:rsidR="00BF7B87" w:rsidRPr="001A7DE9" w:rsidRDefault="00BF7B87" w:rsidP="00BF7B87">
      <w:pPr>
        <w:jc w:val="both"/>
        <w:rPr>
          <w:b/>
        </w:rPr>
      </w:pPr>
      <w:r w:rsidRPr="001A7DE9">
        <w:rPr>
          <w:b/>
        </w:rPr>
        <w:tab/>
        <w:t>Strada Unirii, (în parcarea unității comerciale Carrefour, Dealul Florilor);</w:t>
      </w:r>
    </w:p>
    <w:p w:rsidR="00BF7B87" w:rsidRPr="001A7DE9" w:rsidRDefault="00BF7B87" w:rsidP="00BF7B87">
      <w:pPr>
        <w:jc w:val="both"/>
        <w:rPr>
          <w:b/>
        </w:rPr>
      </w:pPr>
      <w:r w:rsidRPr="001A7DE9">
        <w:rPr>
          <w:b/>
        </w:rPr>
        <w:tab/>
        <w:t xml:space="preserve">Sat </w:t>
      </w:r>
      <w:proofErr w:type="spellStart"/>
      <w:r w:rsidRPr="001A7DE9">
        <w:rPr>
          <w:b/>
        </w:rPr>
        <w:t>Șomcut</w:t>
      </w:r>
      <w:proofErr w:type="spellEnd"/>
      <w:r w:rsidRPr="001A7DE9">
        <w:rPr>
          <w:b/>
        </w:rPr>
        <w:t>, (centru, în zona Magazinului Mixt);</w:t>
      </w:r>
    </w:p>
    <w:p w:rsidR="00BF7B87" w:rsidRPr="001A7DE9" w:rsidRDefault="00BF7B87" w:rsidP="00BF7B87">
      <w:pPr>
        <w:jc w:val="both"/>
        <w:rPr>
          <w:b/>
        </w:rPr>
      </w:pPr>
      <w:r w:rsidRPr="001A7DE9">
        <w:rPr>
          <w:b/>
        </w:rPr>
        <w:tab/>
        <w:t>Sat Pintic, (centru, în zona Magazinului Mixt);</w:t>
      </w:r>
    </w:p>
    <w:p w:rsidR="00BF7B87" w:rsidRPr="001A7DE9" w:rsidRDefault="00BF7B87" w:rsidP="00BF7B87">
      <w:pPr>
        <w:jc w:val="both"/>
        <w:rPr>
          <w:b/>
        </w:rPr>
      </w:pPr>
      <w:r w:rsidRPr="001A7DE9">
        <w:rPr>
          <w:b/>
        </w:rPr>
        <w:tab/>
        <w:t>Cartier Ocna Dej, (centru, zona stație autobuz);</w:t>
      </w:r>
    </w:p>
    <w:p w:rsidR="00BF7B87" w:rsidRPr="001A7DE9" w:rsidRDefault="00BF7B87" w:rsidP="00BF7B87">
      <w:pPr>
        <w:ind w:firstLine="708"/>
        <w:jc w:val="both"/>
        <w:rPr>
          <w:b/>
        </w:rPr>
      </w:pPr>
      <w:r w:rsidRPr="001A7DE9">
        <w:rPr>
          <w:b/>
        </w:rPr>
        <w:t>Cartier Viile Dejului, (centru, zona Magazinului Mixt);</w:t>
      </w:r>
    </w:p>
    <w:p w:rsidR="003F3EE6" w:rsidRPr="001A7DE9" w:rsidRDefault="00BF7B87" w:rsidP="00BF7B87">
      <w:pPr>
        <w:jc w:val="both"/>
        <w:rPr>
          <w:b/>
        </w:rPr>
      </w:pPr>
      <w:r w:rsidRPr="001A7DE9">
        <w:rPr>
          <w:b/>
        </w:rPr>
        <w:tab/>
        <w:t>Cartier Dej – Triaj, (zona stație de autobuz);</w:t>
      </w:r>
    </w:p>
    <w:p w:rsidR="00B64E5A" w:rsidRPr="001A7DE9" w:rsidRDefault="003F3EE6" w:rsidP="00BF7B87">
      <w:pPr>
        <w:jc w:val="both"/>
        <w:rPr>
          <w:b/>
        </w:rPr>
      </w:pPr>
      <w:r w:rsidRPr="001A7DE9">
        <w:rPr>
          <w:rFonts w:eastAsiaTheme="minorHAnsi"/>
          <w:lang w:eastAsia="en-US"/>
        </w:rPr>
        <w:t>.</w:t>
      </w:r>
    </w:p>
    <w:p w:rsidR="00551982" w:rsidRPr="001A7DE9" w:rsidRDefault="00B64E5A" w:rsidP="00BF7B87">
      <w:pPr>
        <w:jc w:val="both"/>
        <w:rPr>
          <w:b/>
        </w:rPr>
      </w:pPr>
      <w:r w:rsidRPr="001A7DE9">
        <w:rPr>
          <w:b/>
        </w:rPr>
        <w:t xml:space="preserve">           </w:t>
      </w:r>
      <w:r w:rsidR="003F3EE6" w:rsidRPr="001A7DE9">
        <w:rPr>
          <w:b/>
          <w:u w:val="single"/>
        </w:rPr>
        <w:t xml:space="preserve"> Art.2</w:t>
      </w:r>
      <w:r w:rsidR="00551982" w:rsidRPr="001A7DE9">
        <w:rPr>
          <w:b/>
        </w:rPr>
        <w:t>.</w:t>
      </w:r>
      <w:r w:rsidRPr="001A7DE9">
        <w:rPr>
          <w:b/>
        </w:rPr>
        <w:t>Afișarea se va face pe panouri montate în locurile stabilite la art.1 din prezenta dispoziție și vor fi folosit</w:t>
      </w:r>
      <w:r w:rsidR="00125048" w:rsidRPr="001A7DE9">
        <w:rPr>
          <w:b/>
        </w:rPr>
        <w:t>e de partidele politice, alianțele politice și alianțele electorale, organizațiile minorităților naționale care participă la alegeri și candidații independenți.</w:t>
      </w:r>
    </w:p>
    <w:p w:rsidR="00D37165" w:rsidRDefault="003F3EE6" w:rsidP="00D37165">
      <w:pPr>
        <w:autoSpaceDE w:val="0"/>
        <w:autoSpaceDN w:val="0"/>
        <w:adjustRightInd w:val="0"/>
        <w:ind w:firstLine="708"/>
        <w:jc w:val="both"/>
        <w:rPr>
          <w:b/>
        </w:rPr>
      </w:pPr>
      <w:r w:rsidRPr="001A7DE9">
        <w:rPr>
          <w:b/>
          <w:u w:val="single"/>
        </w:rPr>
        <w:t xml:space="preserve">  Art.3</w:t>
      </w:r>
      <w:r w:rsidR="004B246D" w:rsidRPr="001A7DE9">
        <w:rPr>
          <w:b/>
          <w:u w:val="single"/>
        </w:rPr>
        <w:t>.</w:t>
      </w:r>
      <w:r w:rsidR="004B246D" w:rsidRPr="001A7DE9">
        <w:rPr>
          <w:rFonts w:eastAsiaTheme="minorHAnsi"/>
          <w:b/>
          <w:lang w:eastAsia="en-US"/>
        </w:rPr>
        <w:t xml:space="preserve">  Pe un panou electoral, fiecare partid politic, </w:t>
      </w:r>
      <w:proofErr w:type="spellStart"/>
      <w:r w:rsidR="004B246D" w:rsidRPr="001A7DE9">
        <w:rPr>
          <w:rFonts w:eastAsiaTheme="minorHAnsi"/>
          <w:b/>
          <w:lang w:eastAsia="en-US"/>
        </w:rPr>
        <w:t>alianţă</w:t>
      </w:r>
      <w:proofErr w:type="spellEnd"/>
      <w:r w:rsidR="004B246D" w:rsidRPr="001A7DE9">
        <w:rPr>
          <w:rFonts w:eastAsiaTheme="minorHAnsi"/>
          <w:b/>
          <w:lang w:eastAsia="en-US"/>
        </w:rPr>
        <w:t xml:space="preserve"> politică, </w:t>
      </w:r>
      <w:proofErr w:type="spellStart"/>
      <w:r w:rsidR="004B246D" w:rsidRPr="001A7DE9">
        <w:rPr>
          <w:rFonts w:eastAsiaTheme="minorHAnsi"/>
          <w:b/>
          <w:lang w:eastAsia="en-US"/>
        </w:rPr>
        <w:t>alianţă</w:t>
      </w:r>
      <w:proofErr w:type="spellEnd"/>
      <w:r w:rsidR="004B246D" w:rsidRPr="001A7DE9">
        <w:rPr>
          <w:rFonts w:eastAsiaTheme="minorHAnsi"/>
          <w:b/>
          <w:lang w:eastAsia="en-US"/>
        </w:rPr>
        <w:t xml:space="preserve"> electorală sau </w:t>
      </w:r>
      <w:proofErr w:type="spellStart"/>
      <w:r w:rsidR="004B246D" w:rsidRPr="001A7DE9">
        <w:rPr>
          <w:rFonts w:eastAsiaTheme="minorHAnsi"/>
          <w:b/>
          <w:lang w:eastAsia="en-US"/>
        </w:rPr>
        <w:t>organizaţie</w:t>
      </w:r>
      <w:proofErr w:type="spellEnd"/>
      <w:r w:rsidR="004B246D" w:rsidRPr="001A7DE9">
        <w:rPr>
          <w:rFonts w:eastAsiaTheme="minorHAnsi"/>
          <w:b/>
          <w:lang w:eastAsia="en-US"/>
        </w:rPr>
        <w:t xml:space="preserve"> a </w:t>
      </w:r>
      <w:proofErr w:type="spellStart"/>
      <w:r w:rsidR="004B246D" w:rsidRPr="001A7DE9">
        <w:rPr>
          <w:rFonts w:eastAsiaTheme="minorHAnsi"/>
          <w:b/>
          <w:lang w:eastAsia="en-US"/>
        </w:rPr>
        <w:t>cetăţenilor</w:t>
      </w:r>
      <w:proofErr w:type="spellEnd"/>
      <w:r w:rsidR="004B246D" w:rsidRPr="001A7DE9">
        <w:rPr>
          <w:rFonts w:eastAsiaTheme="minorHAnsi"/>
          <w:b/>
          <w:lang w:eastAsia="en-US"/>
        </w:rPr>
        <w:t xml:space="preserve"> </w:t>
      </w:r>
      <w:proofErr w:type="spellStart"/>
      <w:r w:rsidR="004B246D" w:rsidRPr="001A7DE9">
        <w:rPr>
          <w:rFonts w:eastAsiaTheme="minorHAnsi"/>
          <w:b/>
          <w:lang w:eastAsia="en-US"/>
        </w:rPr>
        <w:t>aparţinând</w:t>
      </w:r>
      <w:proofErr w:type="spellEnd"/>
      <w:r w:rsidR="004B246D" w:rsidRPr="001A7DE9">
        <w:rPr>
          <w:rFonts w:eastAsiaTheme="minorHAnsi"/>
          <w:b/>
          <w:lang w:eastAsia="en-US"/>
        </w:rPr>
        <w:t xml:space="preserve"> </w:t>
      </w:r>
      <w:proofErr w:type="spellStart"/>
      <w:r w:rsidR="004B246D" w:rsidRPr="001A7DE9">
        <w:rPr>
          <w:rFonts w:eastAsiaTheme="minorHAnsi"/>
          <w:b/>
          <w:lang w:eastAsia="en-US"/>
        </w:rPr>
        <w:t>minorităţilor</w:t>
      </w:r>
      <w:proofErr w:type="spellEnd"/>
      <w:r w:rsidR="004B246D" w:rsidRPr="001A7DE9">
        <w:rPr>
          <w:rFonts w:eastAsiaTheme="minorHAnsi"/>
          <w:b/>
          <w:lang w:eastAsia="en-US"/>
        </w:rPr>
        <w:t xml:space="preserve"> </w:t>
      </w:r>
      <w:proofErr w:type="spellStart"/>
      <w:r w:rsidR="004B246D" w:rsidRPr="001A7DE9">
        <w:rPr>
          <w:rFonts w:eastAsiaTheme="minorHAnsi"/>
          <w:b/>
          <w:lang w:eastAsia="en-US"/>
        </w:rPr>
        <w:t>naţionale</w:t>
      </w:r>
      <w:proofErr w:type="spellEnd"/>
      <w:r w:rsidR="004B246D" w:rsidRPr="001A7DE9">
        <w:rPr>
          <w:rFonts w:eastAsiaTheme="minorHAnsi"/>
          <w:b/>
          <w:lang w:eastAsia="en-US"/>
        </w:rPr>
        <w:t xml:space="preserve"> care participă la alegeri ori fiecare candidat independent poate </w:t>
      </w:r>
      <w:r w:rsidR="00D37165">
        <w:rPr>
          <w:rFonts w:eastAsiaTheme="minorHAnsi"/>
          <w:b/>
          <w:lang w:eastAsia="en-US"/>
        </w:rPr>
        <w:t xml:space="preserve">aplica </w:t>
      </w:r>
      <w:r w:rsidR="00D37165" w:rsidRPr="00D37165">
        <w:rPr>
          <w:rFonts w:eastAsiaTheme="minorHAnsi"/>
          <w:lang w:eastAsia="en-US"/>
        </w:rPr>
        <w:t xml:space="preserve"> </w:t>
      </w:r>
      <w:r w:rsidR="00D37165" w:rsidRPr="00D37165">
        <w:rPr>
          <w:rFonts w:eastAsiaTheme="minorHAnsi"/>
          <w:b/>
          <w:lang w:eastAsia="en-US"/>
        </w:rPr>
        <w:t xml:space="preserve">numai două </w:t>
      </w:r>
      <w:proofErr w:type="spellStart"/>
      <w:r w:rsidR="00D37165" w:rsidRPr="00D37165">
        <w:rPr>
          <w:rFonts w:eastAsiaTheme="minorHAnsi"/>
          <w:b/>
          <w:lang w:eastAsia="en-US"/>
        </w:rPr>
        <w:t>afişe</w:t>
      </w:r>
      <w:proofErr w:type="spellEnd"/>
      <w:r w:rsidR="00D37165" w:rsidRPr="00D37165">
        <w:rPr>
          <w:rFonts w:eastAsiaTheme="minorHAnsi"/>
          <w:b/>
          <w:lang w:eastAsia="en-US"/>
        </w:rPr>
        <w:t xml:space="preserve"> electorale.</w:t>
      </w:r>
      <w:r w:rsidR="00B64E5A" w:rsidRPr="001A7DE9">
        <w:rPr>
          <w:b/>
        </w:rPr>
        <w:t xml:space="preserve">  </w:t>
      </w:r>
    </w:p>
    <w:p w:rsidR="003F3EE6" w:rsidRDefault="00B64E5A" w:rsidP="00D37165">
      <w:pPr>
        <w:autoSpaceDE w:val="0"/>
        <w:autoSpaceDN w:val="0"/>
        <w:adjustRightInd w:val="0"/>
        <w:ind w:firstLine="708"/>
        <w:jc w:val="both"/>
        <w:rPr>
          <w:b/>
        </w:rPr>
      </w:pPr>
      <w:r w:rsidRPr="001A7DE9">
        <w:rPr>
          <w:b/>
        </w:rPr>
        <w:t xml:space="preserve">  </w:t>
      </w:r>
      <w:r w:rsidR="003F3EE6" w:rsidRPr="001A7DE9">
        <w:rPr>
          <w:b/>
          <w:u w:val="single"/>
        </w:rPr>
        <w:t>Art.4</w:t>
      </w:r>
      <w:r w:rsidR="004B246D" w:rsidRPr="001A7DE9">
        <w:rPr>
          <w:b/>
          <w:u w:val="single"/>
        </w:rPr>
        <w:t>.</w:t>
      </w:r>
      <w:r w:rsidRPr="001A7DE9">
        <w:rPr>
          <w:b/>
        </w:rPr>
        <w:t xml:space="preserve">Un afiș electoral amplasat în locurile prevăzute la art.1 nu poate depăși dimensiunea de 500 mm o latură </w:t>
      </w:r>
      <w:r w:rsidR="00125048" w:rsidRPr="001A7DE9">
        <w:rPr>
          <w:b/>
        </w:rPr>
        <w:t>și 35</w:t>
      </w:r>
      <w:r w:rsidRPr="001A7DE9">
        <w:rPr>
          <w:b/>
        </w:rPr>
        <w:t>0 mm cealaltă latură, iar cel prin care se convoacă o reuniune electorală 400 mm o latură și 250 mm cealaltă latură.</w:t>
      </w:r>
    </w:p>
    <w:p w:rsidR="003346D2" w:rsidRPr="001A7DE9" w:rsidRDefault="003346D2" w:rsidP="00D37165">
      <w:pPr>
        <w:autoSpaceDE w:val="0"/>
        <w:autoSpaceDN w:val="0"/>
        <w:adjustRightInd w:val="0"/>
        <w:ind w:firstLine="708"/>
        <w:jc w:val="both"/>
        <w:rPr>
          <w:b/>
        </w:rPr>
      </w:pPr>
      <w:r w:rsidRPr="003346D2">
        <w:rPr>
          <w:b/>
          <w:u w:val="single"/>
        </w:rPr>
        <w:lastRenderedPageBreak/>
        <w:t>Art.5</w:t>
      </w:r>
      <w:r>
        <w:rPr>
          <w:b/>
        </w:rPr>
        <w:t>. În alte locuri decât cele stabilite conform art.1, afișajul electoral este interzis.</w:t>
      </w:r>
    </w:p>
    <w:p w:rsidR="00BF7B87" w:rsidRPr="001A7DE9" w:rsidRDefault="003F3EE6" w:rsidP="00D37165">
      <w:pPr>
        <w:jc w:val="both"/>
        <w:rPr>
          <w:b/>
        </w:rPr>
      </w:pPr>
      <w:r w:rsidRPr="001A7DE9">
        <w:rPr>
          <w:b/>
        </w:rPr>
        <w:tab/>
      </w:r>
      <w:r w:rsidR="00DE08B6" w:rsidRPr="001A7DE9">
        <w:rPr>
          <w:b/>
        </w:rPr>
        <w:t xml:space="preserve"> </w:t>
      </w:r>
    </w:p>
    <w:p w:rsidR="00364CC1" w:rsidRPr="00D37165" w:rsidRDefault="00BF7B87" w:rsidP="00BF7B87">
      <w:pPr>
        <w:jc w:val="both"/>
        <w:rPr>
          <w:b/>
        </w:rPr>
      </w:pPr>
      <w:r w:rsidRPr="001A7DE9">
        <w:rPr>
          <w:b/>
        </w:rPr>
        <w:tab/>
      </w:r>
      <w:r w:rsidR="003346D2">
        <w:rPr>
          <w:b/>
          <w:u w:val="single"/>
        </w:rPr>
        <w:t>Art. 6</w:t>
      </w:r>
      <w:r w:rsidRPr="00D37165">
        <w:rPr>
          <w:b/>
        </w:rPr>
        <w:t xml:space="preserve">. </w:t>
      </w:r>
      <w:r w:rsidR="001A4782" w:rsidRPr="00D37165">
        <w:rPr>
          <w:b/>
        </w:rPr>
        <w:t xml:space="preserve"> </w:t>
      </w:r>
      <w:r w:rsidR="00154B1E" w:rsidRPr="00D37165">
        <w:rPr>
          <w:b/>
        </w:rPr>
        <w:t xml:space="preserve"> </w:t>
      </w:r>
      <w:proofErr w:type="spellStart"/>
      <w:r w:rsidR="001A4782" w:rsidRPr="00D37165">
        <w:rPr>
          <w:rFonts w:eastAsiaTheme="minorHAnsi"/>
          <w:b/>
          <w:lang w:eastAsia="en-US"/>
        </w:rPr>
        <w:t>Poliţia</w:t>
      </w:r>
      <w:proofErr w:type="spellEnd"/>
      <w:r w:rsidR="00154B1E" w:rsidRPr="00D37165">
        <w:rPr>
          <w:rFonts w:eastAsiaTheme="minorHAnsi"/>
          <w:b/>
          <w:lang w:eastAsia="en-US"/>
        </w:rPr>
        <w:t xml:space="preserve">  locală  a</w:t>
      </w:r>
      <w:r w:rsidR="00D668A5">
        <w:rPr>
          <w:rFonts w:eastAsiaTheme="minorHAnsi"/>
          <w:b/>
          <w:lang w:eastAsia="en-US"/>
        </w:rPr>
        <w:t xml:space="preserve">sigură integritatea panourilor, și </w:t>
      </w:r>
      <w:proofErr w:type="spellStart"/>
      <w:r w:rsidR="00154B1E" w:rsidRPr="00D37165">
        <w:rPr>
          <w:rFonts w:eastAsiaTheme="minorHAnsi"/>
          <w:b/>
          <w:lang w:eastAsia="en-US"/>
        </w:rPr>
        <w:t>a</w:t>
      </w:r>
      <w:r w:rsidR="00D668A5">
        <w:rPr>
          <w:rFonts w:eastAsiaTheme="minorHAnsi"/>
          <w:b/>
          <w:lang w:eastAsia="en-US"/>
        </w:rPr>
        <w:t>fişelor</w:t>
      </w:r>
      <w:proofErr w:type="spellEnd"/>
      <w:r w:rsidR="00D668A5">
        <w:rPr>
          <w:rFonts w:eastAsiaTheme="minorHAnsi"/>
          <w:b/>
          <w:lang w:eastAsia="en-US"/>
        </w:rPr>
        <w:t xml:space="preserve"> electorale </w:t>
      </w:r>
      <w:bookmarkStart w:id="0" w:name="_GoBack"/>
      <w:bookmarkEnd w:id="0"/>
      <w:r w:rsidR="00154B1E" w:rsidRPr="00D37165">
        <w:rPr>
          <w:rFonts w:eastAsiaTheme="minorHAnsi"/>
          <w:b/>
          <w:lang w:eastAsia="en-US"/>
        </w:rPr>
        <w:t xml:space="preserve"> amplasate în locuri</w:t>
      </w:r>
      <w:r w:rsidR="001A4782" w:rsidRPr="00D37165">
        <w:rPr>
          <w:rFonts w:eastAsiaTheme="minorHAnsi"/>
          <w:b/>
          <w:lang w:eastAsia="en-US"/>
        </w:rPr>
        <w:t xml:space="preserve">le autorizate prevăzute la art.1 din prezenta </w:t>
      </w:r>
      <w:proofErr w:type="spellStart"/>
      <w:r w:rsidR="001A4782" w:rsidRPr="00D37165">
        <w:rPr>
          <w:rFonts w:eastAsiaTheme="minorHAnsi"/>
          <w:b/>
          <w:lang w:eastAsia="en-US"/>
        </w:rPr>
        <w:t>dispozitie</w:t>
      </w:r>
      <w:proofErr w:type="spellEnd"/>
      <w:r w:rsidR="001A4782" w:rsidRPr="00D37165">
        <w:rPr>
          <w:rFonts w:eastAsiaTheme="minorHAnsi"/>
          <w:b/>
          <w:lang w:eastAsia="en-US"/>
        </w:rPr>
        <w:t>.</w:t>
      </w:r>
      <w:r w:rsidRPr="00D37165">
        <w:rPr>
          <w:b/>
        </w:rPr>
        <w:t xml:space="preserve"> </w:t>
      </w:r>
    </w:p>
    <w:p w:rsidR="00C54774" w:rsidRPr="00D37165" w:rsidRDefault="00154B1E" w:rsidP="00BF7B87">
      <w:pPr>
        <w:jc w:val="both"/>
        <w:rPr>
          <w:b/>
        </w:rPr>
      </w:pPr>
      <w:r w:rsidRPr="00D37165">
        <w:rPr>
          <w:b/>
        </w:rPr>
        <w:t xml:space="preserve">         </w:t>
      </w:r>
      <w:r w:rsidR="003346D2">
        <w:rPr>
          <w:b/>
        </w:rPr>
        <w:t xml:space="preserve">  </w:t>
      </w:r>
      <w:r w:rsidRPr="003346D2">
        <w:rPr>
          <w:b/>
          <w:u w:val="single"/>
        </w:rPr>
        <w:t>Art.7</w:t>
      </w:r>
      <w:r w:rsidR="00C54774" w:rsidRPr="003346D2">
        <w:rPr>
          <w:b/>
          <w:u w:val="single"/>
        </w:rPr>
        <w:t>.</w:t>
      </w:r>
      <w:r w:rsidR="00C54774" w:rsidRPr="00D37165">
        <w:rPr>
          <w:b/>
        </w:rPr>
        <w:t xml:space="preserve"> Prezenta dispoziție se comunică</w:t>
      </w:r>
      <w:r w:rsidR="000B4B6F" w:rsidRPr="00D37165">
        <w:rPr>
          <w:b/>
        </w:rPr>
        <w:t xml:space="preserve"> prin intermediul Secretarului General al Municipiului Dej, în termenul prevăzut de lege,  Instituției Prefectului Județ</w:t>
      </w:r>
      <w:r w:rsidR="00C54774" w:rsidRPr="00D37165">
        <w:rPr>
          <w:b/>
        </w:rPr>
        <w:t>ul</w:t>
      </w:r>
      <w:r w:rsidR="000B4B6F" w:rsidRPr="00D37165">
        <w:rPr>
          <w:b/>
        </w:rPr>
        <w:t xml:space="preserve"> Cluj, Serviciului </w:t>
      </w:r>
      <w:r w:rsidR="001A4782" w:rsidRPr="00D37165">
        <w:rPr>
          <w:b/>
        </w:rPr>
        <w:t xml:space="preserve">public </w:t>
      </w:r>
      <w:r w:rsidR="000B4B6F" w:rsidRPr="00D37165">
        <w:rPr>
          <w:b/>
        </w:rPr>
        <w:t>de administrare a domeniului public, Serviciul Polițe Locală în vederea ducerii la îndeplinire.</w:t>
      </w:r>
    </w:p>
    <w:p w:rsidR="004B246D" w:rsidRPr="00D37165" w:rsidRDefault="004B246D" w:rsidP="00BF7B87">
      <w:pPr>
        <w:jc w:val="both"/>
        <w:rPr>
          <w:b/>
        </w:rPr>
      </w:pPr>
    </w:p>
    <w:p w:rsidR="004B246D" w:rsidRPr="001A7DE9" w:rsidRDefault="004B246D" w:rsidP="00BF7B87">
      <w:pPr>
        <w:jc w:val="both"/>
        <w:rPr>
          <w:b/>
        </w:rPr>
      </w:pPr>
    </w:p>
    <w:p w:rsidR="004B246D" w:rsidRPr="001A7DE9" w:rsidRDefault="004B246D" w:rsidP="00BF7B87">
      <w:pPr>
        <w:jc w:val="both"/>
        <w:rPr>
          <w:b/>
        </w:rPr>
      </w:pPr>
    </w:p>
    <w:p w:rsidR="00DE08B6" w:rsidRPr="001A7DE9" w:rsidRDefault="00DE08B6" w:rsidP="00BF7B87">
      <w:pPr>
        <w:jc w:val="both"/>
        <w:rPr>
          <w:b/>
        </w:rPr>
      </w:pPr>
    </w:p>
    <w:p w:rsidR="00BF7B87" w:rsidRPr="001A7DE9" w:rsidRDefault="00BF7B87" w:rsidP="00DE08B6">
      <w:pPr>
        <w:jc w:val="both"/>
        <w:rPr>
          <w:b/>
        </w:rPr>
      </w:pPr>
      <w:r w:rsidRPr="001A7DE9">
        <w:rPr>
          <w:b/>
        </w:rPr>
        <w:tab/>
      </w:r>
      <w:r w:rsidR="00433CB9" w:rsidRPr="001A7DE9">
        <w:rPr>
          <w:b/>
        </w:rPr>
        <w:t xml:space="preserve">                              </w:t>
      </w:r>
      <w:r w:rsidRPr="001A7DE9">
        <w:rPr>
          <w:b/>
        </w:rPr>
        <w:t>Primar,</w:t>
      </w:r>
    </w:p>
    <w:p w:rsidR="00BF7B87" w:rsidRPr="001A7DE9" w:rsidRDefault="00433CB9" w:rsidP="00DE08B6">
      <w:pPr>
        <w:jc w:val="both"/>
        <w:rPr>
          <w:b/>
        </w:rPr>
      </w:pPr>
      <w:r w:rsidRPr="001A7DE9">
        <w:rPr>
          <w:b/>
        </w:rPr>
        <w:t xml:space="preserve">                </w:t>
      </w:r>
      <w:r w:rsidR="00B64E5A" w:rsidRPr="001A7DE9">
        <w:rPr>
          <w:b/>
        </w:rPr>
        <w:t xml:space="preserve">              </w:t>
      </w:r>
      <w:r w:rsidRPr="001A7DE9">
        <w:rPr>
          <w:b/>
        </w:rPr>
        <w:t xml:space="preserve">  </w:t>
      </w:r>
      <w:r w:rsidR="00BF7B87" w:rsidRPr="001A7DE9">
        <w:rPr>
          <w:b/>
        </w:rPr>
        <w:t>ing. Morar Costan</w:t>
      </w:r>
    </w:p>
    <w:p w:rsidR="00BF7B87" w:rsidRPr="001A7DE9" w:rsidRDefault="00BF7B87" w:rsidP="00DE08B6">
      <w:pPr>
        <w:tabs>
          <w:tab w:val="left" w:pos="7410"/>
        </w:tabs>
        <w:jc w:val="right"/>
        <w:rPr>
          <w:b/>
          <w:lang w:val="en-US"/>
        </w:rPr>
      </w:pPr>
      <w:r w:rsidRPr="001A7DE9">
        <w:rPr>
          <w:b/>
          <w:lang w:val="en-US"/>
        </w:rPr>
        <w:t xml:space="preserve">                                                                                                     </w:t>
      </w:r>
      <w:r w:rsidR="00433CB9" w:rsidRPr="001A7DE9">
        <w:rPr>
          <w:b/>
          <w:lang w:val="en-US"/>
        </w:rPr>
        <w:t xml:space="preserve">                           </w:t>
      </w:r>
      <w:r w:rsidR="00B64E5A" w:rsidRPr="001A7DE9">
        <w:rPr>
          <w:b/>
          <w:lang w:val="en-US"/>
        </w:rPr>
        <w:t xml:space="preserve"> </w:t>
      </w:r>
      <w:r w:rsidR="00364CC1" w:rsidRPr="001A7DE9">
        <w:rPr>
          <w:b/>
          <w:lang w:val="en-US"/>
        </w:rPr>
        <w:t>Avi</w:t>
      </w:r>
      <w:r w:rsidR="00DE08B6" w:rsidRPr="001A7DE9">
        <w:rPr>
          <w:b/>
          <w:lang w:val="en-US"/>
        </w:rPr>
        <w:t>z</w:t>
      </w:r>
      <w:r w:rsidR="00364CC1" w:rsidRPr="001A7DE9">
        <w:rPr>
          <w:b/>
          <w:lang w:val="en-US"/>
        </w:rPr>
        <w:t>at,</w:t>
      </w:r>
      <w:r w:rsidR="00DE08B6" w:rsidRPr="001A7DE9">
        <w:rPr>
          <w:b/>
          <w:lang w:val="en-US"/>
        </w:rPr>
        <w:t xml:space="preserve">    </w:t>
      </w:r>
      <w:proofErr w:type="spellStart"/>
      <w:r w:rsidR="00DE08B6" w:rsidRPr="001A7DE9">
        <w:rPr>
          <w:b/>
          <w:lang w:val="en-US"/>
        </w:rPr>
        <w:t>Secretar</w:t>
      </w:r>
      <w:proofErr w:type="spellEnd"/>
      <w:r w:rsidR="00DE08B6" w:rsidRPr="001A7DE9">
        <w:rPr>
          <w:b/>
          <w:lang w:val="en-US"/>
        </w:rPr>
        <w:t xml:space="preserve"> general al </w:t>
      </w:r>
      <w:proofErr w:type="spellStart"/>
      <w:r w:rsidR="00DE08B6" w:rsidRPr="001A7DE9">
        <w:rPr>
          <w:b/>
          <w:lang w:val="en-US"/>
        </w:rPr>
        <w:t>municipiului</w:t>
      </w:r>
      <w:proofErr w:type="spellEnd"/>
      <w:r w:rsidR="00DE08B6" w:rsidRPr="001A7DE9">
        <w:rPr>
          <w:b/>
          <w:lang w:val="en-US"/>
        </w:rPr>
        <w:t xml:space="preserve"> Dej</w:t>
      </w:r>
    </w:p>
    <w:p w:rsidR="00BF7B87" w:rsidRPr="001A7DE9" w:rsidRDefault="00BF7B87" w:rsidP="00DE08B6">
      <w:pPr>
        <w:tabs>
          <w:tab w:val="left" w:pos="7200"/>
        </w:tabs>
        <w:jc w:val="right"/>
        <w:rPr>
          <w:b/>
        </w:rPr>
      </w:pPr>
      <w:r w:rsidRPr="001A7DE9">
        <w:rPr>
          <w:b/>
        </w:rPr>
        <w:tab/>
      </w:r>
      <w:r w:rsidR="00D72263" w:rsidRPr="001A7DE9">
        <w:rPr>
          <w:b/>
        </w:rPr>
        <w:t xml:space="preserve">   Cristina Pop</w:t>
      </w:r>
    </w:p>
    <w:p w:rsidR="004564A2" w:rsidRPr="001A7DE9" w:rsidRDefault="004564A2" w:rsidP="00DE08B6">
      <w:pPr>
        <w:tabs>
          <w:tab w:val="left" w:pos="7200"/>
        </w:tabs>
        <w:jc w:val="right"/>
        <w:rPr>
          <w:b/>
        </w:rPr>
      </w:pPr>
    </w:p>
    <w:p w:rsidR="004564A2" w:rsidRPr="001A7DE9" w:rsidRDefault="004564A2" w:rsidP="00DE08B6">
      <w:pPr>
        <w:tabs>
          <w:tab w:val="left" w:pos="7200"/>
        </w:tabs>
        <w:jc w:val="right"/>
        <w:rPr>
          <w:b/>
        </w:rPr>
      </w:pPr>
    </w:p>
    <w:p w:rsidR="004564A2" w:rsidRPr="001A7DE9" w:rsidRDefault="004564A2" w:rsidP="00DE08B6">
      <w:pPr>
        <w:tabs>
          <w:tab w:val="left" w:pos="7200"/>
        </w:tabs>
        <w:jc w:val="right"/>
        <w:rPr>
          <w:b/>
        </w:rPr>
      </w:pPr>
    </w:p>
    <w:sectPr w:rsidR="004564A2" w:rsidRPr="001A7DE9" w:rsidSect="00DD46EE">
      <w:pgSz w:w="11906" w:h="16838"/>
      <w:pgMar w:top="1417" w:right="926" w:bottom="719" w:left="1417" w:header="708" w:footer="708" w:gutter="0"/>
      <w:cols w:space="708" w:equalWidth="0">
        <w:col w:w="956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525C"/>
    <w:multiLevelType w:val="hybridMultilevel"/>
    <w:tmpl w:val="53C04A24"/>
    <w:lvl w:ilvl="0" w:tplc="1FAE98AA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13" w:hanging="360"/>
      </w:pPr>
    </w:lvl>
    <w:lvl w:ilvl="2" w:tplc="0418001B" w:tentative="1">
      <w:start w:val="1"/>
      <w:numFmt w:val="lowerRoman"/>
      <w:lvlText w:val="%3."/>
      <w:lvlJc w:val="right"/>
      <w:pPr>
        <w:ind w:left="3333" w:hanging="180"/>
      </w:pPr>
    </w:lvl>
    <w:lvl w:ilvl="3" w:tplc="0418000F" w:tentative="1">
      <w:start w:val="1"/>
      <w:numFmt w:val="decimal"/>
      <w:lvlText w:val="%4."/>
      <w:lvlJc w:val="left"/>
      <w:pPr>
        <w:ind w:left="4053" w:hanging="360"/>
      </w:pPr>
    </w:lvl>
    <w:lvl w:ilvl="4" w:tplc="04180019" w:tentative="1">
      <w:start w:val="1"/>
      <w:numFmt w:val="lowerLetter"/>
      <w:lvlText w:val="%5."/>
      <w:lvlJc w:val="left"/>
      <w:pPr>
        <w:ind w:left="4773" w:hanging="360"/>
      </w:pPr>
    </w:lvl>
    <w:lvl w:ilvl="5" w:tplc="0418001B" w:tentative="1">
      <w:start w:val="1"/>
      <w:numFmt w:val="lowerRoman"/>
      <w:lvlText w:val="%6."/>
      <w:lvlJc w:val="right"/>
      <w:pPr>
        <w:ind w:left="5493" w:hanging="180"/>
      </w:pPr>
    </w:lvl>
    <w:lvl w:ilvl="6" w:tplc="0418000F" w:tentative="1">
      <w:start w:val="1"/>
      <w:numFmt w:val="decimal"/>
      <w:lvlText w:val="%7."/>
      <w:lvlJc w:val="left"/>
      <w:pPr>
        <w:ind w:left="6213" w:hanging="360"/>
      </w:pPr>
    </w:lvl>
    <w:lvl w:ilvl="7" w:tplc="04180019" w:tentative="1">
      <w:start w:val="1"/>
      <w:numFmt w:val="lowerLetter"/>
      <w:lvlText w:val="%8."/>
      <w:lvlJc w:val="left"/>
      <w:pPr>
        <w:ind w:left="6933" w:hanging="360"/>
      </w:pPr>
    </w:lvl>
    <w:lvl w:ilvl="8" w:tplc="0418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1" w15:restartNumberingAfterBreak="0">
    <w:nsid w:val="405704E5"/>
    <w:multiLevelType w:val="hybridMultilevel"/>
    <w:tmpl w:val="F8185350"/>
    <w:lvl w:ilvl="0" w:tplc="FEAA8C4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85" w:hanging="360"/>
      </w:pPr>
    </w:lvl>
    <w:lvl w:ilvl="2" w:tplc="0418001B" w:tentative="1">
      <w:start w:val="1"/>
      <w:numFmt w:val="lowerRoman"/>
      <w:lvlText w:val="%3."/>
      <w:lvlJc w:val="right"/>
      <w:pPr>
        <w:ind w:left="3405" w:hanging="180"/>
      </w:pPr>
    </w:lvl>
    <w:lvl w:ilvl="3" w:tplc="0418000F" w:tentative="1">
      <w:start w:val="1"/>
      <w:numFmt w:val="decimal"/>
      <w:lvlText w:val="%4."/>
      <w:lvlJc w:val="left"/>
      <w:pPr>
        <w:ind w:left="4125" w:hanging="360"/>
      </w:pPr>
    </w:lvl>
    <w:lvl w:ilvl="4" w:tplc="04180019" w:tentative="1">
      <w:start w:val="1"/>
      <w:numFmt w:val="lowerLetter"/>
      <w:lvlText w:val="%5."/>
      <w:lvlJc w:val="left"/>
      <w:pPr>
        <w:ind w:left="4845" w:hanging="360"/>
      </w:pPr>
    </w:lvl>
    <w:lvl w:ilvl="5" w:tplc="0418001B" w:tentative="1">
      <w:start w:val="1"/>
      <w:numFmt w:val="lowerRoman"/>
      <w:lvlText w:val="%6."/>
      <w:lvlJc w:val="right"/>
      <w:pPr>
        <w:ind w:left="5565" w:hanging="180"/>
      </w:pPr>
    </w:lvl>
    <w:lvl w:ilvl="6" w:tplc="0418000F" w:tentative="1">
      <w:start w:val="1"/>
      <w:numFmt w:val="decimal"/>
      <w:lvlText w:val="%7."/>
      <w:lvlJc w:val="left"/>
      <w:pPr>
        <w:ind w:left="6285" w:hanging="360"/>
      </w:pPr>
    </w:lvl>
    <w:lvl w:ilvl="7" w:tplc="04180019" w:tentative="1">
      <w:start w:val="1"/>
      <w:numFmt w:val="lowerLetter"/>
      <w:lvlText w:val="%8."/>
      <w:lvlJc w:val="left"/>
      <w:pPr>
        <w:ind w:left="7005" w:hanging="360"/>
      </w:pPr>
    </w:lvl>
    <w:lvl w:ilvl="8" w:tplc="0418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2B"/>
    <w:rsid w:val="00042FBD"/>
    <w:rsid w:val="000979FA"/>
    <w:rsid w:val="000A02EB"/>
    <w:rsid w:val="000B4B6F"/>
    <w:rsid w:val="000D7BAA"/>
    <w:rsid w:val="000E0974"/>
    <w:rsid w:val="000F3BA3"/>
    <w:rsid w:val="0011652E"/>
    <w:rsid w:val="00125048"/>
    <w:rsid w:val="00154B1E"/>
    <w:rsid w:val="001847F2"/>
    <w:rsid w:val="001A4782"/>
    <w:rsid w:val="001A7DE9"/>
    <w:rsid w:val="001B39A6"/>
    <w:rsid w:val="001C26E2"/>
    <w:rsid w:val="001C6F89"/>
    <w:rsid w:val="002038C1"/>
    <w:rsid w:val="00276E75"/>
    <w:rsid w:val="00291547"/>
    <w:rsid w:val="002F2DBC"/>
    <w:rsid w:val="003346D2"/>
    <w:rsid w:val="00353D2C"/>
    <w:rsid w:val="00363D0D"/>
    <w:rsid w:val="00364CC1"/>
    <w:rsid w:val="00365849"/>
    <w:rsid w:val="003809ED"/>
    <w:rsid w:val="003B126B"/>
    <w:rsid w:val="003D2F62"/>
    <w:rsid w:val="003E51A1"/>
    <w:rsid w:val="003F388E"/>
    <w:rsid w:val="003F3EE6"/>
    <w:rsid w:val="00433CB9"/>
    <w:rsid w:val="00453EC9"/>
    <w:rsid w:val="004564A2"/>
    <w:rsid w:val="00493EBB"/>
    <w:rsid w:val="004B2370"/>
    <w:rsid w:val="004B246D"/>
    <w:rsid w:val="004D2FA8"/>
    <w:rsid w:val="004E579B"/>
    <w:rsid w:val="00506EAD"/>
    <w:rsid w:val="00531BA1"/>
    <w:rsid w:val="00551982"/>
    <w:rsid w:val="00562502"/>
    <w:rsid w:val="005A7BE8"/>
    <w:rsid w:val="005B23E0"/>
    <w:rsid w:val="005C2A6B"/>
    <w:rsid w:val="0060414C"/>
    <w:rsid w:val="0066120C"/>
    <w:rsid w:val="006773E3"/>
    <w:rsid w:val="00684C9A"/>
    <w:rsid w:val="006E025F"/>
    <w:rsid w:val="006F3A7C"/>
    <w:rsid w:val="00764F8E"/>
    <w:rsid w:val="00795A10"/>
    <w:rsid w:val="007E21A4"/>
    <w:rsid w:val="008115F0"/>
    <w:rsid w:val="00824865"/>
    <w:rsid w:val="00867492"/>
    <w:rsid w:val="0088664B"/>
    <w:rsid w:val="008A649E"/>
    <w:rsid w:val="008F5B45"/>
    <w:rsid w:val="0091100B"/>
    <w:rsid w:val="0091206A"/>
    <w:rsid w:val="009826F2"/>
    <w:rsid w:val="00997352"/>
    <w:rsid w:val="009E05C9"/>
    <w:rsid w:val="00A30F62"/>
    <w:rsid w:val="00A349E4"/>
    <w:rsid w:val="00A632B2"/>
    <w:rsid w:val="00AA5E8E"/>
    <w:rsid w:val="00AD1BDC"/>
    <w:rsid w:val="00AF19FD"/>
    <w:rsid w:val="00B045DE"/>
    <w:rsid w:val="00B12700"/>
    <w:rsid w:val="00B21A29"/>
    <w:rsid w:val="00B527D3"/>
    <w:rsid w:val="00B52AAF"/>
    <w:rsid w:val="00B64E5A"/>
    <w:rsid w:val="00B967FA"/>
    <w:rsid w:val="00BC512C"/>
    <w:rsid w:val="00BE330D"/>
    <w:rsid w:val="00BF7B87"/>
    <w:rsid w:val="00C1312B"/>
    <w:rsid w:val="00C54774"/>
    <w:rsid w:val="00C75D79"/>
    <w:rsid w:val="00C91154"/>
    <w:rsid w:val="00C94AA9"/>
    <w:rsid w:val="00CC2749"/>
    <w:rsid w:val="00CD483B"/>
    <w:rsid w:val="00CE6513"/>
    <w:rsid w:val="00D00826"/>
    <w:rsid w:val="00D37165"/>
    <w:rsid w:val="00D41CED"/>
    <w:rsid w:val="00D53DBA"/>
    <w:rsid w:val="00D668A5"/>
    <w:rsid w:val="00D72263"/>
    <w:rsid w:val="00D94540"/>
    <w:rsid w:val="00DB1A68"/>
    <w:rsid w:val="00DC1391"/>
    <w:rsid w:val="00DC60DE"/>
    <w:rsid w:val="00DD46EE"/>
    <w:rsid w:val="00DE08B6"/>
    <w:rsid w:val="00E2526A"/>
    <w:rsid w:val="00E26DE6"/>
    <w:rsid w:val="00E513BB"/>
    <w:rsid w:val="00E91F7D"/>
    <w:rsid w:val="00E96F41"/>
    <w:rsid w:val="00EA24E6"/>
    <w:rsid w:val="00ED140A"/>
    <w:rsid w:val="00F0018D"/>
    <w:rsid w:val="00F23C00"/>
    <w:rsid w:val="00F56A48"/>
    <w:rsid w:val="00FC25EE"/>
    <w:rsid w:val="00FE6D36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EFEFB-5A51-4BD0-9977-C266390C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C1312B"/>
    <w:pPr>
      <w:keepNext/>
      <w:jc w:val="center"/>
      <w:outlineLvl w:val="0"/>
    </w:pPr>
    <w:rPr>
      <w:color w:val="0000FF"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1312B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styleId="Hyperlink">
    <w:name w:val="Hyperlink"/>
    <w:basedOn w:val="Fontdeparagrafimplicit"/>
    <w:rsid w:val="00C1312B"/>
    <w:rPr>
      <w:color w:val="0000FF"/>
      <w:u w:val="single"/>
    </w:rPr>
  </w:style>
  <w:style w:type="paragraph" w:styleId="Antet">
    <w:name w:val="header"/>
    <w:basedOn w:val="Normal"/>
    <w:link w:val="AntetCaracter"/>
    <w:rsid w:val="00C1312B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basedOn w:val="Fontdeparagrafimplicit"/>
    <w:link w:val="Antet"/>
    <w:rsid w:val="00C1312B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1312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1312B"/>
    <w:rPr>
      <w:rFonts w:ascii="Tahoma" w:eastAsia="Times New Roman" w:hAnsi="Tahoma" w:cs="Tahoma"/>
      <w:sz w:val="16"/>
      <w:szCs w:val="16"/>
      <w:lang w:eastAsia="ro-RO"/>
    </w:rPr>
  </w:style>
  <w:style w:type="paragraph" w:styleId="Listparagraf">
    <w:name w:val="List Paragraph"/>
    <w:basedOn w:val="Normal"/>
    <w:uiPriority w:val="34"/>
    <w:qFormat/>
    <w:rsid w:val="00A3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dej.r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Pop</dc:creator>
  <cp:lastModifiedBy>Cristina.Pop</cp:lastModifiedBy>
  <cp:revision>19</cp:revision>
  <cp:lastPrinted>2020-11-05T06:27:00Z</cp:lastPrinted>
  <dcterms:created xsi:type="dcterms:W3CDTF">2020-11-05T05:48:00Z</dcterms:created>
  <dcterms:modified xsi:type="dcterms:W3CDTF">2020-11-05T06:27:00Z</dcterms:modified>
</cp:coreProperties>
</file>